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90B2" w14:textId="77777777" w:rsidR="00EB53A8" w:rsidRPr="00A24ADA" w:rsidRDefault="00EB53A8" w:rsidP="00EB53A8">
      <w:pPr>
        <w:shd w:val="clear" w:color="auto" w:fill="FFFFFF"/>
        <w:suppressAutoHyphens/>
        <w:jc w:val="center"/>
        <w:rPr>
          <w:rFonts w:ascii="Times New Roman" w:hAnsi="Times New Roman"/>
          <w:bCs/>
          <w:color w:val="333333"/>
          <w:szCs w:val="28"/>
        </w:rPr>
      </w:pPr>
      <w:r w:rsidRPr="00A24ADA">
        <w:rPr>
          <w:rFonts w:ascii="Times New Roman" w:hAnsi="Times New Roman"/>
          <w:bCs/>
          <w:color w:val="333333"/>
          <w:szCs w:val="28"/>
        </w:rPr>
        <w:t>Конфискация транспортного средства за управление им в состоянии опьянения лицом, подвергнутым административному наказанию или имеющим судимость</w:t>
      </w:r>
    </w:p>
    <w:p w14:paraId="31265B66" w14:textId="77777777" w:rsidR="00831F5F" w:rsidRPr="00702753" w:rsidRDefault="00831F5F" w:rsidP="00EB53A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41D79A9F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основания конфискации имущества, состоящей в принудительном безвозмездном его изъятии и обращении в собственность государства на основании обвинительного приговора, расширены: ч. 1 ст. 104.1 Уголовного кодекса Российской Федерации (далее - УК РФ) дополнена пунктом «д», предписывающим конфисковывать транспортное средство, принадлежащее обвиняемому и использованное им при совершении преступления, предусмотренного ст. 264.1, 264.2 или 264.3 УК РФ.</w:t>
      </w:r>
    </w:p>
    <w:p w14:paraId="07539557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При реализации этой нормы необходимо учитывать разъяснения, содержащиеся в постановлении Пленума Верховного Суда Российской Федерации от 14.06.2018 № 17 «О некоторых вопросах, связанных с применением конфискации имущества в уголовном судопроизводстве» (далее – постановление). Применение меры уголовно-правового характера в виде конфискации имущества (гл. 15.1 УК РФ) может быть связано с ограничением конституционного права на частную собственность и должно осуществляться судом в точном соответствии с положениями Конституции Российской Федерации, общепризнанными принципами и нормами международного права и международными договорами Российской Федерации, требованиями уголовного и уголовно-процессуального законодательства</w:t>
      </w:r>
    </w:p>
    <w:p w14:paraId="2C94DA56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Для преодоления правовой неопределенности о том, какое имущество должно считаться принадлежащим обвиняемому в контексте ст. 104.1 УК РФ, Пленум в п. 3.1 постановления разъяснил, что для целей гл. 15.1 УК РФ принадлежащим обвиняемому следует считать имущество, находящееся в его собственности, а также в общей собственности обвиняемого и других лиц.</w:t>
      </w:r>
    </w:p>
    <w:p w14:paraId="6588E3C4" w14:textId="77777777" w:rsidR="00EB53A8" w:rsidRPr="00A24ADA" w:rsidRDefault="00EB53A8" w:rsidP="00EB53A8">
      <w:pPr>
        <w:shd w:val="clear" w:color="auto" w:fill="FFFFFF"/>
        <w:suppressAutoHyphens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Эта правовая позиция находит отражение в практике высшей судебной инстанции по конкретным уголовным делам. Так, Шестым кассационным судом общей юрисдикции 16.05.2023 приговор в отношении Т., осужденного по ст. 264.1 УК РФ, и апелляционное постановление Верховного Суда Республики Марий Эл в части применения конфискации автомобиля отменены. Судебная коллегия по уголовным делам Верховного Суда РФ 09.11.2023 постановление суда кассационной инстанции отменила, не усмотрев никаких нарушений со стороны нижестоящих судов, и констатировала отсутствие правовых препятствий для применения указанной меры уголовно-правового характера.</w:t>
      </w:r>
    </w:p>
    <w:p w14:paraId="4F96BDD4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 xml:space="preserve">Верховный Суд РФ подчеркнул, что кассационный суд в своем постановлении не привел суждений, по которым признал несостоятельными выводы суда первой инстанции о наличии возможности защиты супругой осужденного своих прав в гражданском судопроизводстве. Важной новацией являются разъяснения, содержащиеся в новой редакции п. 9 постановления Пленума. В абзаце 2 закреплено, что принятые судом в иных видах судопроизводства в отношении предмета, подлежащего конфискации, обеспечительные меры (например, арест имущества должника по гражданскому </w:t>
      </w:r>
      <w:r w:rsidRPr="00A24ADA">
        <w:rPr>
          <w:rFonts w:ascii="Times New Roman" w:hAnsi="Times New Roman"/>
          <w:color w:val="333333"/>
          <w:szCs w:val="28"/>
        </w:rPr>
        <w:lastRenderedPageBreak/>
        <w:t>делу), как и наличие обременения (например, залог), не относятся к числу причин, исключающих конфискацию этого имущества.</w:t>
      </w:r>
    </w:p>
    <w:p w14:paraId="64FD4FDF" w14:textId="77777777" w:rsidR="00EB53A8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Совершение мнимых сделок с принадлежащим имуществом с целью воспрепятствования его конфискации, при установлении таких фактов, не препятствует применению положений ст. 1041 УК РФ. В соответствии с ч. 3 ст. 115 УПК РФ в целях обеспечения возможной конфискации судом может быть наложен арест на имущество, указанное в ч. 1 ст. 104.1 УК РФ, находящееся не только у подозреваемого, обвиняемого или лиц, несущих по закону материальную ответственность за их действия, но и у других лиц, если есть достаточные основания полагать, что оно получено в результате преступных действий либо использовалось или предназначалось для использования в качестве орудия, оборудования или иного средства совершения преступления.</w:t>
      </w:r>
    </w:p>
    <w:p w14:paraId="64EE0064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 w:val="24"/>
        </w:rPr>
      </w:pPr>
      <w:r w:rsidRPr="00A24ADA">
        <w:rPr>
          <w:rFonts w:ascii="Times New Roman" w:hAnsi="Times New Roman"/>
          <w:color w:val="333333"/>
          <w:szCs w:val="28"/>
        </w:rPr>
        <w:t>В п. 3.2 постановления отмечено, что в тех случаях, когда по делу о преступлении, предусмотренном ст. 264.1, 264.2 или 264.3 УК РФ, представленные сведения об отчуждении транспортного средства, использованного при совершении преступления, опровергаются исследованными доказательствами и будет установлено, что автомобиль продолжает принадлежать обвиняемому, он также подлежит конфискации.</w:t>
      </w:r>
    </w:p>
    <w:p w14:paraId="1991E920" w14:textId="77777777" w:rsidR="00EB53A8" w:rsidRPr="00A24ADA" w:rsidRDefault="00EB53A8" w:rsidP="00EB53A8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 w:val="24"/>
        </w:rPr>
      </w:pPr>
      <w:r w:rsidRPr="00A24ADA">
        <w:rPr>
          <w:rFonts w:ascii="Times New Roman" w:hAnsi="Times New Roman"/>
          <w:color w:val="333333"/>
          <w:szCs w:val="28"/>
        </w:rPr>
        <w:t>Применение данной меры, при наличии предусмотренных законом оснований, является обязательным и не зависит от усмотрения суда. При этом, как разъяснил Верховный Суд РФ, наложение в ходе досудебного производства по делу ареста на имущество для обеспечения гражданского иска или исполнения наказания в виде штрафа, а не в целях обеспечения возможной его конфискации, не препятствует суду при наличии оснований вынести решение о его конфискации (пункт 13.1).</w:t>
      </w:r>
    </w:p>
    <w:p w14:paraId="5669DFDA" w14:textId="4E50C787" w:rsidR="00F91674" w:rsidRDefault="00EB53A8" w:rsidP="00EB53A8">
      <w:pPr>
        <w:pStyle w:val="a5"/>
        <w:suppressAutoHyphens/>
        <w:ind w:firstLine="708"/>
        <w:outlineLvl w:val="0"/>
        <w:rPr>
          <w:szCs w:val="28"/>
        </w:rPr>
      </w:pPr>
      <w:r w:rsidRPr="00A24ADA">
        <w:rPr>
          <w:color w:val="333333"/>
          <w:szCs w:val="28"/>
        </w:rPr>
        <w:t>В ситуациях, когда осуществить конфискацию определенного предмета, входящего в имущество, обозначенное в статье 104.1 УК РФ, невозможно в связи с его использованием, продажей или по каким-либо иным причинам (например, дарение, утрата, уничтожение), это обстоятельство не является основанием для отказа в применении указанной меры. На это особое внимание обращено Пленумом в абзаце 1 обновленного п. 9 постановления Пленума. В таких случаях на основании ч. 1 ст. 104.2 УК РФ судом выносится решение о конфискации денежной суммы, эквивалентной стоимости данного предмета. При отсутствии либо недостаточности денежных средств у подсудимого с учетом положений ч. 2 ст. 104.2 УК РФ судом конфискуется иное имущество, стоимость которого равнозначна стоимости предмета, подлежащего конфискации. Взамен конфискованного не может быть изъято</w:t>
      </w:r>
      <w:r w:rsidR="009C4322" w:rsidRPr="00702753">
        <w:rPr>
          <w:szCs w:val="28"/>
        </w:rPr>
        <w:t>.</w:t>
      </w:r>
    </w:p>
    <w:p w14:paraId="0C035698" w14:textId="77777777" w:rsidR="00EB53A8" w:rsidRPr="00702753" w:rsidRDefault="00EB53A8" w:rsidP="00EB53A8">
      <w:pPr>
        <w:pStyle w:val="a5"/>
        <w:suppressAutoHyphens/>
        <w:ind w:firstLine="708"/>
        <w:outlineLvl w:val="0"/>
        <w:rPr>
          <w:szCs w:val="28"/>
        </w:rPr>
      </w:pPr>
    </w:p>
    <w:tbl>
      <w:tblPr>
        <w:tblStyle w:val="a6"/>
        <w:tblpPr w:leftFromText="181" w:rightFromText="181" w:vertAnchor="text" w:tblpY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1124"/>
        <w:gridCol w:w="1124"/>
        <w:gridCol w:w="1124"/>
        <w:gridCol w:w="2532"/>
      </w:tblGrid>
      <w:tr w:rsidR="00EB53A8" w14:paraId="2EF1D678" w14:textId="77777777" w:rsidTr="00EB53A8">
        <w:tc>
          <w:tcPr>
            <w:tcW w:w="4017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421EA6AC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прокурора района</w:t>
            </w:r>
          </w:p>
          <w:p w14:paraId="30CF767C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658E1373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младший советник юстиции</w:t>
            </w:r>
          </w:p>
        </w:tc>
        <w:tc>
          <w:tcPr>
            <w:tcW w:w="1124" w:type="dxa"/>
          </w:tcPr>
          <w:p w14:paraId="1AFBE97B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4" w:type="dxa"/>
          </w:tcPr>
          <w:p w14:paraId="17892B69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4" w:type="dxa"/>
            <w:vAlign w:val="bottom"/>
          </w:tcPr>
          <w:p w14:paraId="2711F096" w14:textId="43510DBF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32" w:type="dxa"/>
            <w:vAlign w:val="bottom"/>
          </w:tcPr>
          <w:p w14:paraId="764778CA" w14:textId="772CB23B" w:rsidR="00EB53A8" w:rsidRDefault="00EB53A8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С.С. Сатьянов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644688F6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</w:rPr>
              <w:t xml:space="preserve">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0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2A8C8896" w14:textId="77777777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4A1112" w:rsidSect="003B69E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13FFC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E46DD"/>
    <w:rsid w:val="000F3AB8"/>
    <w:rsid w:val="000F6709"/>
    <w:rsid w:val="00101A6C"/>
    <w:rsid w:val="00105180"/>
    <w:rsid w:val="00110543"/>
    <w:rsid w:val="0011141B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2B60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2E5180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B69E2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1112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82F"/>
    <w:rsid w:val="00562EB0"/>
    <w:rsid w:val="00567256"/>
    <w:rsid w:val="00576D69"/>
    <w:rsid w:val="00582378"/>
    <w:rsid w:val="005927D9"/>
    <w:rsid w:val="005B4AA2"/>
    <w:rsid w:val="005E1A33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A6215"/>
    <w:rsid w:val="006B5D07"/>
    <w:rsid w:val="006C5474"/>
    <w:rsid w:val="006C6C42"/>
    <w:rsid w:val="006E4E97"/>
    <w:rsid w:val="006E5D15"/>
    <w:rsid w:val="007017C2"/>
    <w:rsid w:val="00702753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92040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3867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04A37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C4322"/>
    <w:rsid w:val="009F079F"/>
    <w:rsid w:val="00A02E21"/>
    <w:rsid w:val="00A11E6F"/>
    <w:rsid w:val="00A14C91"/>
    <w:rsid w:val="00A17519"/>
    <w:rsid w:val="00A20F1D"/>
    <w:rsid w:val="00A21A5E"/>
    <w:rsid w:val="00A2292E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1FC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66FA2"/>
    <w:rsid w:val="00C73979"/>
    <w:rsid w:val="00C966D0"/>
    <w:rsid w:val="00CC5A5A"/>
    <w:rsid w:val="00CD5852"/>
    <w:rsid w:val="00CE3C47"/>
    <w:rsid w:val="00CF50B3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03CCA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B53A8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Сатьянов Сергей Сергеевич</cp:lastModifiedBy>
  <cp:revision>2</cp:revision>
  <cp:lastPrinted>2024-10-03T06:14:00Z</cp:lastPrinted>
  <dcterms:created xsi:type="dcterms:W3CDTF">2024-12-13T06:49:00Z</dcterms:created>
  <dcterms:modified xsi:type="dcterms:W3CDTF">2024-12-13T06:49:00Z</dcterms:modified>
</cp:coreProperties>
</file>