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D6" w:rsidRDefault="001779D6" w:rsidP="001779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Оплата выходных донорам при режиме работы более 8 часов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1779D6" w:rsidRDefault="001779D6" w:rsidP="00177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 Согласно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3 ст. 186 ТК РФ в случае сдачи крови и ее компонентов 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  <w:r>
        <w:rPr>
          <w:rFonts w:ascii="Arial" w:hAnsi="Arial" w:cs="Arial"/>
          <w:color w:val="000000"/>
          <w:sz w:val="20"/>
          <w:szCs w:val="20"/>
        </w:rPr>
        <w:br/>
        <w:t>   После каждого дня сдачи крови и ее компонентов работнику предоставляется дополнительный день отдыха. 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дня сдачи крови и ее компонентов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4 ст. 186 ТК РФ).</w:t>
      </w:r>
    </w:p>
    <w:p w:rsidR="001779D6" w:rsidRDefault="001779D6" w:rsidP="001779D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При сдаче крови и ее компонентов работодатель сохраняет за работником его средний заработок за дни сдачи и предоставленные в связи с этим дни отдыха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ч</w:t>
      </w:r>
      <w:proofErr w:type="gramEnd"/>
      <w:r>
        <w:rPr>
          <w:rFonts w:ascii="Arial" w:hAnsi="Arial" w:cs="Arial"/>
          <w:color w:val="000000"/>
          <w:sz w:val="20"/>
          <w:szCs w:val="20"/>
        </w:rPr>
        <w:t>. 5 ст. 186 ТК РФ).</w:t>
      </w:r>
      <w:r>
        <w:rPr>
          <w:rFonts w:ascii="Arial" w:hAnsi="Arial" w:cs="Arial"/>
          <w:color w:val="000000"/>
          <w:sz w:val="20"/>
          <w:szCs w:val="20"/>
        </w:rPr>
        <w:br/>
        <w:t>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В соответствии с п.1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 (приказ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РФ от 13.08.2009 N 588н) норма рабочего времени на определенные календарные периоды времени исчисляется по расчетному графику пятидневной рабочей недели с двумя выходными днями в субботу и воскресенье исходя из продолжительности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ежедневной работы (смены):</w:t>
      </w:r>
      <w:r>
        <w:rPr>
          <w:rFonts w:ascii="Arial" w:hAnsi="Arial" w:cs="Arial"/>
          <w:color w:val="000000"/>
          <w:sz w:val="20"/>
          <w:szCs w:val="20"/>
        </w:rPr>
        <w:br/>
        <w:t>   - при 40-часовой рабочей неделе - 8 часов;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- при продолжительности рабочей недели менее 40 часов 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количество часов, получаемое в результате деления установленной продолжительности рабочей недели на пять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дней.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Продолжительность рабочего дня или смены, непосредственно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предшествующих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нерабочему праздничному дню, уменьшается на один час.</w:t>
      </w:r>
      <w:r>
        <w:rPr>
          <w:rFonts w:ascii="Arial" w:hAnsi="Arial" w:cs="Arial"/>
          <w:color w:val="000000"/>
          <w:sz w:val="20"/>
          <w:szCs w:val="20"/>
        </w:rPr>
        <w:br/>
        <w:t>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В соответствии с частью 2 статьи 112 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>
        <w:rPr>
          <w:rFonts w:ascii="Arial" w:hAnsi="Arial" w:cs="Arial"/>
          <w:color w:val="000000"/>
          <w:sz w:val="20"/>
          <w:szCs w:val="20"/>
        </w:rPr>
        <w:br/>
        <w:t>   В тех случаях, когда в соответствии с решением Правительства Российской Федерации выходной день переносится на рабочий день, продолжительность работы в этот день (бывший выходной) должна соответствовать продолжительности рабочего дня, на который перенесен выходной день.</w:t>
      </w:r>
      <w:r>
        <w:rPr>
          <w:rFonts w:ascii="Arial" w:hAnsi="Arial" w:cs="Arial"/>
          <w:color w:val="000000"/>
          <w:sz w:val="20"/>
          <w:szCs w:val="20"/>
        </w:rPr>
        <w:br/>
        <w:t>   Исчисленная в таком порядке норма рабочего времени распространяется на все режимы труда и отдыха.</w:t>
      </w:r>
      <w:r>
        <w:rPr>
          <w:rFonts w:ascii="Arial" w:hAnsi="Arial" w:cs="Arial"/>
          <w:color w:val="000000"/>
          <w:sz w:val="20"/>
          <w:szCs w:val="20"/>
        </w:rPr>
        <w:br/>
        <w:t>  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Таким образом, норма рабочего времени конкретного месяца рассчитывается следующим образом: продолжительность рабочей недели (40, 39, 36, 30, 24 и т.д. часов) делится на 5, умножается на количество рабочих дней по календарю пятидневной рабочей недели конкретного месяца, и из полученного количества часов вычитается количество часов в данном месяце, на которое производится сокращение рабочего времени накануне нерабочих праздничных дней.</w:t>
      </w:r>
      <w:proofErr w:type="gramEnd"/>
    </w:p>
    <w:p w:rsidR="003316C3" w:rsidRDefault="001779D6"/>
    <w:sectPr w:rsidR="003316C3" w:rsidSect="00574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D6"/>
    <w:rsid w:val="001779D6"/>
    <w:rsid w:val="0057488B"/>
    <w:rsid w:val="008D36EB"/>
    <w:rsid w:val="009D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2024-07-22T10:29:00Z</dcterms:created>
  <dcterms:modified xsi:type="dcterms:W3CDTF">2024-07-22T10:34:00Z</dcterms:modified>
</cp:coreProperties>
</file>